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FC4EE8" w:rsidP="00FC4EE8">
      <w:pPr>
        <w:keepNext/>
        <w:jc w:val="center"/>
        <w:rPr>
          <w:rFonts w:ascii="Times New Roman" w:hAnsi="Times New Roman" w:cs="Times New Roman"/>
          <w:b/>
          <w:sz w:val="36"/>
        </w:rPr>
      </w:pPr>
      <w:r>
        <w:rPr>
          <w:rFonts w:ascii="Times New Roman" w:hAnsi="Times New Roman" w:cs="Times New Roman"/>
          <w:b/>
          <w:sz w:val="36"/>
        </w:rPr>
        <w:t>Constitution and Elections</w:t>
      </w:r>
    </w:p>
    <w:p w:rsidR="00FC4EE8" w:rsidRDefault="00FC4EE8" w:rsidP="00FC4EE8">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FC4EE8" w:rsidRDefault="00FC4EE8" w:rsidP="00FC4EE8">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FC4EE8" w:rsidRPr="00FC4EE8" w:rsidRDefault="00FC4EE8" w:rsidP="00FC4EE8">
      <w:pPr>
        <w:pStyle w:val="NormalWeb"/>
        <w:jc w:val="both"/>
        <w:divId w:val="564874675"/>
        <w:rPr>
          <w:sz w:val="22"/>
        </w:rPr>
      </w:pPr>
      <w:r w:rsidRPr="00FC4EE8">
        <w:rPr>
          <w:sz w:val="22"/>
        </w:rPr>
        <w:t>S.L. 2022-73 does all of the following:</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Revises the qualifications and examination requirements for bail bondsmen and runners. </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Authorizes all Department of Defense special agents to assist State and local law enforcement agencies. </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FC4EE8" w:rsidRPr="00FC4EE8" w:rsidRDefault="00FC4EE8" w:rsidP="00FC4EE8">
      <w:pPr>
        <w:numPr>
          <w:ilvl w:val="0"/>
          <w:numId w:val="1"/>
        </w:numPr>
        <w:spacing w:before="100" w:beforeAutospacing="1" w:after="100" w:afterAutospacing="1" w:line="240" w:lineRule="auto"/>
        <w:jc w:val="both"/>
        <w:divId w:val="564874675"/>
        <w:rPr>
          <w:rFonts w:ascii="Times New Roman" w:eastAsia="Times New Roman" w:hAnsi="Times New Roman" w:cs="Times New Roman"/>
        </w:rPr>
      </w:pPr>
      <w:r w:rsidRPr="00FC4EE8">
        <w:rPr>
          <w:rFonts w:ascii="Times New Roman" w:eastAsia="Times New Roman" w:hAnsi="Times New Roman" w:cs="Times New Roman"/>
        </w:rPr>
        <w:t xml:space="preserve">Makes technical corrections to other legislation. </w:t>
      </w:r>
    </w:p>
    <w:p w:rsidR="00FC4EE8" w:rsidRPr="00FC4EE8" w:rsidRDefault="00FC4EE8" w:rsidP="00FC4EE8">
      <w:pPr>
        <w:pStyle w:val="NormalWeb"/>
        <w:jc w:val="both"/>
        <w:divId w:val="564874675"/>
        <w:rPr>
          <w:sz w:val="22"/>
        </w:rPr>
      </w:pPr>
      <w:r w:rsidRPr="00FC4EE8">
        <w:rPr>
          <w:sz w:val="22"/>
        </w:rPr>
        <w:t xml:space="preserve">This act contains varying effective dates. Please see the full summary for details. </w:t>
      </w:r>
    </w:p>
    <w:p w:rsidR="00FC4EE8" w:rsidRPr="00FC4EE8" w:rsidRDefault="00FC4EE8" w:rsidP="00FC4EE8">
      <w:pPr>
        <w:keepNext/>
        <w:jc w:val="both"/>
        <w:rPr>
          <w:rFonts w:ascii="Times New Roman" w:hAnsi="Times New Roman" w:cs="Times New Roman"/>
        </w:rPr>
      </w:pPr>
    </w:p>
    <w:p w:rsidR="00FC4EE8" w:rsidRDefault="00FC4EE8" w:rsidP="00FC4EE8">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FC4EE8" w:rsidRPr="00FC4EE8" w:rsidRDefault="00FC4EE8" w:rsidP="00FC4EE8">
      <w:pPr>
        <w:pStyle w:val="NormalWeb"/>
        <w:jc w:val="both"/>
        <w:divId w:val="106236998"/>
        <w:rPr>
          <w:sz w:val="22"/>
        </w:rPr>
      </w:pPr>
      <w:r w:rsidRPr="00FC4EE8">
        <w:rPr>
          <w:sz w:val="22"/>
        </w:rPr>
        <w:t>S.L. 2022-72 does the following:</w:t>
      </w:r>
    </w:p>
    <w:p w:rsidR="00FC4EE8" w:rsidRPr="00FC4EE8" w:rsidRDefault="00FC4EE8" w:rsidP="00FC4EE8">
      <w:pPr>
        <w:numPr>
          <w:ilvl w:val="0"/>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Amends the statutes pertaining to the practice of barbering and electrolysis as follows: </w:t>
      </w:r>
    </w:p>
    <w:p w:rsidR="00FC4EE8" w:rsidRPr="00FC4EE8" w:rsidRDefault="00FC4EE8" w:rsidP="00FC4EE8">
      <w:pPr>
        <w:numPr>
          <w:ilvl w:val="1"/>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Electrolysis Examiners (Board). The terms of the newly created Board begin on January 1, 2023. </w:t>
      </w:r>
    </w:p>
    <w:p w:rsidR="00FC4EE8" w:rsidRPr="00FC4EE8" w:rsidRDefault="00FC4EE8" w:rsidP="00FC4EE8">
      <w:pPr>
        <w:numPr>
          <w:ilvl w:val="1"/>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Authorizes mobile barbershops. </w:t>
      </w:r>
    </w:p>
    <w:p w:rsidR="00FC4EE8" w:rsidRPr="00FC4EE8" w:rsidRDefault="00FC4EE8" w:rsidP="00FC4EE8">
      <w:pPr>
        <w:numPr>
          <w:ilvl w:val="1"/>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Revises barber school requirements. </w:t>
      </w:r>
    </w:p>
    <w:p w:rsidR="00FC4EE8" w:rsidRPr="00FC4EE8" w:rsidRDefault="00FC4EE8" w:rsidP="00FC4EE8">
      <w:pPr>
        <w:numPr>
          <w:ilvl w:val="1"/>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Establishes an electrolysis apprenticeship program. </w:t>
      </w:r>
    </w:p>
    <w:p w:rsidR="00FC4EE8" w:rsidRPr="00FC4EE8" w:rsidRDefault="00FC4EE8" w:rsidP="00FC4EE8">
      <w:pPr>
        <w:numPr>
          <w:ilvl w:val="1"/>
          <w:numId w:val="2"/>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Modifies certain fee provisions. </w:t>
      </w:r>
    </w:p>
    <w:p w:rsidR="00FC4EE8" w:rsidRPr="00FC4EE8" w:rsidRDefault="00FC4EE8" w:rsidP="00FC4EE8">
      <w:pPr>
        <w:numPr>
          <w:ilvl w:val="0"/>
          <w:numId w:val="3"/>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FC4EE8" w:rsidRPr="00FC4EE8" w:rsidRDefault="00FC4EE8" w:rsidP="00FC4EE8">
      <w:pPr>
        <w:numPr>
          <w:ilvl w:val="0"/>
          <w:numId w:val="4"/>
        </w:numPr>
        <w:spacing w:before="100" w:beforeAutospacing="1" w:after="100" w:afterAutospacing="1" w:line="240" w:lineRule="auto"/>
        <w:jc w:val="both"/>
        <w:divId w:val="106236998"/>
        <w:rPr>
          <w:rFonts w:ascii="Times New Roman" w:eastAsia="Times New Roman" w:hAnsi="Times New Roman" w:cs="Times New Roman"/>
        </w:rPr>
      </w:pPr>
      <w:r w:rsidRPr="00FC4EE8">
        <w:rPr>
          <w:rFonts w:ascii="Times New Roman" w:eastAsia="Times New Roman" w:hAnsi="Times New Roman" w:cs="Times New Roman"/>
        </w:rPr>
        <w:t xml:space="preserve">Makes a technical correction to the effective date of language in S.L. 2022-73. </w:t>
      </w:r>
    </w:p>
    <w:p w:rsidR="00FC4EE8" w:rsidRPr="00FC4EE8" w:rsidRDefault="00FC4EE8" w:rsidP="00FC4EE8">
      <w:pPr>
        <w:pStyle w:val="NormalWeb"/>
        <w:jc w:val="both"/>
        <w:divId w:val="106236998"/>
        <w:rPr>
          <w:sz w:val="22"/>
        </w:rPr>
      </w:pPr>
      <w:r w:rsidRPr="00FC4EE8">
        <w:rPr>
          <w:sz w:val="22"/>
        </w:rPr>
        <w:t xml:space="preserve">Section 1 and Section 2 of this act become effective January 1, 2023, and apply to applications for licensure, examination, and renewal submitted on or after that date. The remainder of this act became effective July 8, 2022. </w:t>
      </w:r>
      <w:bookmarkStart w:id="0" w:name="_GoBack"/>
      <w:bookmarkEnd w:id="0"/>
    </w:p>
    <w:sectPr w:rsidR="00FC4EE8" w:rsidRPr="00FC4EE8" w:rsidSect="00FC4EE8">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E8" w:rsidRDefault="00FC4EE8" w:rsidP="00FC4EE8">
      <w:pPr>
        <w:spacing w:after="0" w:line="240" w:lineRule="auto"/>
      </w:pPr>
      <w:r>
        <w:separator/>
      </w:r>
    </w:p>
  </w:endnote>
  <w:endnote w:type="continuationSeparator" w:id="0">
    <w:p w:rsidR="00FC4EE8" w:rsidRDefault="00FC4EE8" w:rsidP="00FC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Default="00FC4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Pr="00FC4EE8" w:rsidRDefault="00FC4EE8" w:rsidP="00FC4EE8">
    <w:pPr>
      <w:pStyle w:val="Footer"/>
      <w:tabs>
        <w:tab w:val="center" w:pos="4680"/>
        <w:tab w:val="right" w:pos="9360"/>
      </w:tabs>
      <w:rPr>
        <w:rFonts w:ascii="Times New Roman" w:hAnsi="Times New Roman" w:cs="Times New Roman"/>
      </w:rPr>
    </w:pPr>
    <w:r>
      <w:rPr>
        <w:rFonts w:ascii="Times New Roman" w:hAnsi="Times New Roman" w:cs="Times New Roman"/>
      </w:rPr>
      <w:t>[2022] Constitution and Elections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1/24/2023 1:22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Default="00FC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E8" w:rsidRDefault="00FC4EE8" w:rsidP="00FC4EE8">
      <w:pPr>
        <w:spacing w:after="0" w:line="240" w:lineRule="auto"/>
      </w:pPr>
      <w:r>
        <w:separator/>
      </w:r>
    </w:p>
  </w:footnote>
  <w:footnote w:type="continuationSeparator" w:id="0">
    <w:p w:rsidR="00FC4EE8" w:rsidRDefault="00FC4EE8" w:rsidP="00FC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Default="00FC4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Default="00FC4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E8" w:rsidRDefault="00FC4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90E9D"/>
    <w:multiLevelType w:val="multilevel"/>
    <w:tmpl w:val="7B76E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869F0"/>
    <w:multiLevelType w:val="multilevel"/>
    <w:tmpl w:val="C42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D54E7"/>
    <w:multiLevelType w:val="multilevel"/>
    <w:tmpl w:val="DE2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D40DA"/>
    <w:multiLevelType w:val="multilevel"/>
    <w:tmpl w:val="49BC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E8"/>
    <w:rsid w:val="00AD2356"/>
    <w:rsid w:val="00FC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B556"/>
  <w15:chartTrackingRefBased/>
  <w15:docId w15:val="{34AA77D3-5772-44FE-B287-EA0FD49A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EE8"/>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C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EE8"/>
  </w:style>
  <w:style w:type="paragraph" w:styleId="Footer">
    <w:name w:val="footer"/>
    <w:basedOn w:val="Normal"/>
    <w:link w:val="FooterChar"/>
    <w:uiPriority w:val="99"/>
    <w:unhideWhenUsed/>
    <w:rsid w:val="00FC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35454">
      <w:bodyDiv w:val="1"/>
      <w:marLeft w:val="0"/>
      <w:marRight w:val="0"/>
      <w:marTop w:val="0"/>
      <w:marBottom w:val="0"/>
      <w:divBdr>
        <w:top w:val="none" w:sz="0" w:space="0" w:color="auto"/>
        <w:left w:val="none" w:sz="0" w:space="0" w:color="auto"/>
        <w:bottom w:val="none" w:sz="0" w:space="0" w:color="auto"/>
        <w:right w:val="none" w:sz="0" w:space="0" w:color="auto"/>
      </w:divBdr>
      <w:divsChild>
        <w:div w:id="106236998">
          <w:marLeft w:val="0"/>
          <w:marRight w:val="0"/>
          <w:marTop w:val="0"/>
          <w:marBottom w:val="0"/>
          <w:divBdr>
            <w:top w:val="none" w:sz="0" w:space="0" w:color="auto"/>
            <w:left w:val="none" w:sz="0" w:space="0" w:color="auto"/>
            <w:bottom w:val="none" w:sz="0" w:space="0" w:color="auto"/>
            <w:right w:val="none" w:sz="0" w:space="0" w:color="auto"/>
          </w:divBdr>
        </w:div>
      </w:divsChild>
    </w:div>
    <w:div w:id="2112311794">
      <w:bodyDiv w:val="1"/>
      <w:marLeft w:val="0"/>
      <w:marRight w:val="0"/>
      <w:marTop w:val="0"/>
      <w:marBottom w:val="0"/>
      <w:divBdr>
        <w:top w:val="none" w:sz="0" w:space="0" w:color="auto"/>
        <w:left w:val="none" w:sz="0" w:space="0" w:color="auto"/>
        <w:bottom w:val="none" w:sz="0" w:space="0" w:color="auto"/>
        <w:right w:val="none" w:sz="0" w:space="0" w:color="auto"/>
      </w:divBdr>
      <w:divsChild>
        <w:div w:id="56487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Company>NCGA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2023-01-24T18:22:00Z</dcterms:created>
  <dcterms:modified xsi:type="dcterms:W3CDTF">2023-01-24T18:22:00Z</dcterms:modified>
</cp:coreProperties>
</file>